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R05 · Plano operacional de monitoramento</w:t>
      </w:r>
    </w:p>
    <w:p>
      <w:r>
        <w:rPr>
          <w:b/>
        </w:rPr>
        <w:t xml:space="preserve">Para que serve. </w:t>
      </w:r>
      <w:r>
        <w:t>Traduzir o desenho em uma rotina sustentável.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Decisão e escopo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Perguntas prioritárias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Fontes, método e cadência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O que fica de fora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Responsável e suplente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Regras de validação e escalonamento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Produto, destinatário e frequência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Indicador útil e data de revisão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A cadência deve responder à velocidade da mudança e às consequências de um atraso.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Caso Empresa A (simulação educativa). A Empresa A revisa uma seleção de fontes duas vezes por semana e emite uma nota mensal para inovação; um sinal regulatório crítico aciona uma revisão extraordinária.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R05 Plano operacional de monitoramento</dc:title>
  <dc:subject/>
  <dc:creator>Innguma Intelligence Academy</dc:creator>
  <cp:keywords/>
  <dc:description>Traduzir o desenho em uma rotina sustentável.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