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R13 · Scenarios and robust options</w:t>
      </w:r>
    </w:p>
    <w:p>
      <w:r>
        <w:rPr>
          <w:b/>
        </w:rPr>
        <w:t xml:space="preserve">What it is for. </w:t>
      </w:r>
      <w:r>
        <w:t>Explore alternative futures and conditional options.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Focal decision and horizon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Uncertainty 1 and extremes (in Company A: industrial adoption, early / slow)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Uncertainty 2 and extremes (in Company A: integration and supply, accessible / restrictive)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Scenario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Causal narrative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Early indicators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Risks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Robust options</w:t>
            </w:r>
          </w:p>
        </w:tc>
      </w:tr>
      <w:tr>
        <w:tc>
          <w:tcPr>
            <w:tcW w:type="dxa" w:w="2760"/>
          </w:tcPr>
          <w:p>
            <w:r>
              <w:rPr>
                <w:b/>
              </w:rPr>
              <w:t>A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B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C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D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Scenarios are not predictions or invented probability percentages.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Company A crosses industrial adoption (early/slow) with integration and supply (accessible/restrictive) and obtains four worlds: A · Coordinated expansion, B · Blocked demand, C · Open optionality and D · Stagnation. Option O2, a limited pilot with a partner and exit milestones, remains reasonable in several of them.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R13 Scenarios and robust options</dc:title>
  <dc:subject/>
  <dc:creator>Innguma Intelligence Academy</dc:creator>
  <cp:keywords/>
  <dc:description>Explore alternative futures and conditional options.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