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R12 · Technology radar</w:t>
      </w:r>
    </w:p>
    <w:p>
      <w:r>
        <w:rPr>
          <w:b/>
        </w:rPr>
        <w:t xml:space="preserve">What it is for. </w:t>
      </w:r>
      <w:r>
        <w:t>Assess maturity from different dimensions.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Environment, regulation and constraints (cross-cutting field)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Dimension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Indicator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Evidence and date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Support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Limit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Open question</w:t>
            </w:r>
          </w:p>
        </w:tc>
      </w:tr>
      <w:tr>
        <w:tc>
          <w:tcPr>
            <w:tcW w:type="dxa" w:w="2300"/>
          </w:tcPr>
          <w:p>
            <w:r>
              <w:rPr>
                <w:b/>
              </w:rPr>
              <w:t>Technical performance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Industrial maturity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Adoption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Ecosystem and supply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Strategic fit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Patents, publications, demonstrations and sales are different signals; they are not equivalent measures of maturity.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For Company A there are positive technical indications from tests, but not enough data on unit cost or durability in production.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R12 Technology radar</dc:title>
  <dc:subject/>
  <dc:creator>Innguma Intelligence Academy</dc:creator>
  <cp:keywords/>
  <dc:description>Assess maturity from different dimensions.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