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R03 · Map of sources and coverage</w:t>
      </w:r>
    </w:p>
    <w:p>
      <w:r>
        <w:rPr>
          <w:b/>
        </w:rPr>
        <w:t xml:space="preserve">What it is for. </w:t>
      </w:r>
      <w:r>
        <w:t>Locate sources, limits, frequency and gaps.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Identifier or URL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Question covered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Legitimate access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Cadence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Blind spot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The register must say what each source does NOT cover, not only what it contains.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In the fictional case, Company A combines manufacturers' press releases, patents and technical publications; no single source proves commercial adoption.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R03 Map of sources and coverage</dc:title>
  <dc:subject/>
  <dc:creator>Innguma Intelligence Academy</dc:creator>
  <cp:keywords/>
  <dc:description>Locate sources, limits, frequency and gaps.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