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R02 · Critical factors and priorities</w:t>
      </w:r>
    </w:p>
    <w:p>
      <w:r>
        <w:rPr>
          <w:b/>
        </w:rPr>
        <w:t xml:space="preserve">What it is for. </w:t>
      </w:r>
      <w:r>
        <w:t>Connect strategic objectives, risks and monitoring priorities.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Critical factor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Risk / opportunity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Reasoned priority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Do not confuse what generates the most news with what matters most.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Company A prioritises industrial scale-up capacity over press mentions, because it conditions the decision to run a pilot.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R02 Critical factors and priorities</dc:title>
  <dc:subject/>
  <dc:creator>Innguma Intelligence Academy</dc:creator>
  <cp:keywords/>
  <dc:description>Connect strategic objectives, risks and monitoring priorities.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