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R12 · Radar tecnológico</w:t>
      </w:r>
    </w:p>
    <w:p>
      <w:r>
        <w:rPr>
          <w:b/>
        </w:rPr>
        <w:t xml:space="preserve">Para qué sirve. </w:t>
      </w:r>
      <w:r>
        <w:t>Evaluar madurez desde dimensiones distintas.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Entorno, regulación y restricciones (campo transversal)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Dimensión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Indicador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Evidencia y fecha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Respaldo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Límite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Pregunta pendiente</w:t>
            </w:r>
          </w:p>
        </w:tc>
      </w:tr>
      <w:tr>
        <w:tc>
          <w:tcPr>
            <w:tcW w:type="dxa" w:w="2300"/>
          </w:tcPr>
          <w:p>
            <w:r>
              <w:rPr>
                <w:b/>
              </w:rPr>
              <w:t>Desempeño técnico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Madurez industrial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Adopción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Ecosistema y suministro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Encaje estratégico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Patentes, publicaciones, demostraciones y ventas son señales diferentes; no son medidas equivalentes de madurez.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Para Empresa A hay indicios técnicos positivos en ensayos, pero no datos suficientes de coste por unidad ni durabilidad en producción.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R12 Radar tecnológico</dc:title>
  <dc:subject/>
  <dc:creator>Innguma Intelligence Academy</dc:creator>
  <cp:keywords/>
  <dc:description>Evaluar madurez desde dimensiones distintas.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