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R06 · Registro de señales y evidencias</w:t>
      </w:r>
    </w:p>
    <w:p>
      <w:r>
        <w:rPr>
          <w:b/>
        </w:rPr>
        <w:t xml:space="preserve">Para qué sirve. </w:t>
      </w:r>
      <w:r>
        <w:t>Distinguir observación, fuente e interpretación.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3"/>
        <w:gridCol w:w="1533"/>
        <w:gridCol w:w="1533"/>
        <w:gridCol w:w="1533"/>
        <w:gridCol w:w="1533"/>
        <w:gridCol w:w="1533"/>
        <w:gridCol w:w="1533"/>
        <w:gridCol w:w="1533"/>
        <w:gridCol w:w="1533"/>
      </w:tblGrid>
      <w:tr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ID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Fuente original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Qué afirma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Evidencia verificada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Interpretación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Alternativa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Relevancia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Siguiente prueba</w:t>
            </w:r>
          </w:p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Una afirmación repetida por cinco portales que copian la misma nota no constituye cinco evidencias independientes.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Una noticia ficticia informa de un piloto de almacenamiento térmico industrial. Hecho: se anunció un piloto. Hipótesis: la tecnología está cerca del escalado. Alternativa: se trata de una demostración exploratoria.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R06 Registro de señales y evidencias</dc:title>
  <dc:subject/>
  <dc:creator>Innguma Intelligence Academy</dc:creator>
  <cp:keywords/>
  <dc:description>Distinguir observación, fuente e interpretación.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