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R05 · Plan operativo de vigilancia</w:t>
      </w:r>
    </w:p>
    <w:p>
      <w:r>
        <w:rPr>
          <w:b/>
        </w:rPr>
        <w:t xml:space="preserve">Para qué sirve. </w:t>
      </w:r>
      <w:r>
        <w:t>Traducir el diseño a una rutina sostenible.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Decisión y alcance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Preguntas prioritarias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Fuentes, método y cadencia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Qué queda fuera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Responsable y suplente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Reglas de validación y escalado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Producto, destinatario y frecuencia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Indicador útil y fecha de revisión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La cadencia debe responder a la velocidad de cambio y a las consecuencias de un retraso.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2F0F5"/>
          </w:tcPr>
          <w:p>
            <w:r>
              <w:rPr>
                <w:i/>
              </w:rPr>
              <w:t>Caso Empresa A (simulación educativa). Empresa A revisa una selección de fuentes dos veces por semana y emite una nota mensual para innovación; una señal regulatoria crítica activa revisión extraordinaria.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R05 Plan operativo de vigilancia</dc:title>
  <dc:subject/>
  <dc:creator>Innguma Intelligence Academy</dc:creator>
  <cp:keywords/>
  <dc:description>Traducir el diseño a una rutina sostenible.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