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R02 · Factores críticos y prioridades</w:t>
      </w:r>
    </w:p>
    <w:p>
      <w:r>
        <w:rPr>
          <w:b/>
        </w:rPr>
        <w:t xml:space="preserve">Para qué sirve. </w:t>
      </w:r>
      <w:r>
        <w:t>Conectar objetivos estratégicos, riesgos y focos de vigilancia.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Objetivo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Factor crítico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Riesgo / oportunidad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Pregunta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Prioridad razonada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Responsable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confundas lo que genera más noticias con lo más importante.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prioriza la capacidad industrial de escalado sobre las menciones en prensa, porque condiciona la decisión de pilotar.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R02 Factores críticos y prioridades</dc:title>
  <dc:subject/>
  <dc:creator>Innguma Intelligence Academy</dc:creator>
  <cp:keywords/>
  <dc:description>Conectar objetivos estratégicos, riesgos y focos de vigilancia.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